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E4" w:rsidRPr="000A5B0E" w:rsidRDefault="008D73E4" w:rsidP="008D73E4">
      <w:pPr>
        <w:pStyle w:val="a3"/>
        <w:ind w:left="1146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>Порядок подачи, формат и место проведения апелляции</w:t>
      </w:r>
    </w:p>
    <w:p w:rsidR="008D73E4" w:rsidRDefault="008D73E4" w:rsidP="008D73E4">
      <w:pPr>
        <w:pStyle w:val="a3"/>
        <w:ind w:left="1429"/>
        <w:rPr>
          <w:rFonts w:ascii="PT Astra Serif" w:eastAsia="Calibri" w:hAnsi="PT Astra Serif"/>
          <w:spacing w:val="-6"/>
        </w:rPr>
      </w:pPr>
    </w:p>
    <w:p w:rsidR="008D73E4" w:rsidRPr="008D73E4" w:rsidRDefault="008D73E4" w:rsidP="008D73E4">
      <w:pPr>
        <w:pStyle w:val="a3"/>
        <w:ind w:left="0"/>
        <w:jc w:val="center"/>
        <w:rPr>
          <w:rFonts w:ascii="PT Astra Serif" w:eastAsia="Calibri" w:hAnsi="PT Astra Serif"/>
          <w:b/>
          <w:spacing w:val="-6"/>
        </w:rPr>
      </w:pPr>
      <w:r w:rsidRPr="008D73E4">
        <w:rPr>
          <w:rFonts w:ascii="PT Astra Serif" w:eastAsia="Calibri" w:hAnsi="PT Astra Serif"/>
          <w:b/>
          <w:spacing w:val="-6"/>
        </w:rPr>
        <w:t>Очный формат</w:t>
      </w:r>
    </w:p>
    <w:p w:rsidR="008D73E4" w:rsidRDefault="008D73E4" w:rsidP="008D73E4">
      <w:pPr>
        <w:pStyle w:val="a3"/>
        <w:ind w:left="0"/>
        <w:jc w:val="center"/>
        <w:rPr>
          <w:rFonts w:ascii="PT Astra Serif" w:eastAsia="Calibri" w:hAnsi="PT Astra Serif"/>
          <w:spacing w:val="-6"/>
        </w:rPr>
      </w:pPr>
    </w:p>
    <w:p w:rsidR="008D73E4" w:rsidRDefault="008D73E4" w:rsidP="008D73E4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</w:t>
      </w:r>
      <w:r w:rsidRPr="0091678A">
        <w:rPr>
          <w:rFonts w:ascii="PT Astra Serif" w:eastAsia="Calibri" w:hAnsi="PT Astra Serif"/>
          <w:spacing w:val="-6"/>
        </w:rPr>
        <w:t>оценивание заданий,</w:t>
      </w:r>
      <w:r>
        <w:rPr>
          <w:rFonts w:ascii="PT Astra Serif" w:eastAsia="Calibri" w:hAnsi="PT Astra Serif"/>
          <w:spacing w:val="-6"/>
        </w:rPr>
        <w:t xml:space="preserve">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окончательным. Место проведения апелляции – каб.104.</w:t>
      </w:r>
    </w:p>
    <w:p w:rsidR="008D73E4" w:rsidRDefault="008D73E4" w:rsidP="008D73E4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 </w:t>
      </w:r>
    </w:p>
    <w:p w:rsidR="008D73E4" w:rsidRPr="007D07F9" w:rsidRDefault="008D73E4" w:rsidP="008D73E4">
      <w:pPr>
        <w:pStyle w:val="a3"/>
        <w:ind w:left="0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 xml:space="preserve"> Дистанционный формат </w:t>
      </w:r>
      <w:r w:rsidRPr="007D07F9">
        <w:rPr>
          <w:rFonts w:ascii="PT Astra Serif" w:eastAsia="Calibri" w:hAnsi="PT Astra Serif"/>
          <w:b/>
          <w:spacing w:val="-6"/>
        </w:rPr>
        <w:t>на технологической платформе «Сириус.</w:t>
      </w:r>
      <w:r>
        <w:rPr>
          <w:rFonts w:ascii="PT Astra Serif" w:eastAsia="Calibri" w:hAnsi="PT Astra Serif"/>
          <w:b/>
          <w:spacing w:val="-6"/>
        </w:rPr>
        <w:t xml:space="preserve"> </w:t>
      </w:r>
      <w:r w:rsidRPr="007D07F9">
        <w:rPr>
          <w:rFonts w:ascii="PT Astra Serif" w:eastAsia="Calibri" w:hAnsi="PT Astra Serif"/>
          <w:b/>
          <w:spacing w:val="-6"/>
        </w:rPr>
        <w:t>Курсы»</w:t>
      </w:r>
    </w:p>
    <w:p w:rsidR="008D73E4" w:rsidRDefault="008D73E4" w:rsidP="008D73E4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</w:p>
    <w:p w:rsidR="008D73E4" w:rsidRDefault="008D73E4" w:rsidP="008D73E4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Участники смогут  ознакомиться с результатами проверки при входе в тестирующую систему по тому же коду, что и для участия в Олимпиаде. Тут же можно просмотреть свои ошибки и увидеть правильные ответы.</w:t>
      </w:r>
    </w:p>
    <w:p w:rsidR="008D73E4" w:rsidRDefault="008D73E4" w:rsidP="008D73E4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Разбор заданий будет подготовлен разработчиками заданий. В рамках разбора заданий будут опубликованы следующие материалы: правильные ответы в тестирующей системе, текстовое решение олимпиадных заданий, </w:t>
      </w:r>
      <w:proofErr w:type="spellStart"/>
      <w:r>
        <w:rPr>
          <w:rFonts w:ascii="PT Astra Serif" w:eastAsia="Calibri" w:hAnsi="PT Astra Serif"/>
          <w:spacing w:val="-6"/>
        </w:rPr>
        <w:t>видеоразбор</w:t>
      </w:r>
      <w:proofErr w:type="spellEnd"/>
      <w:r>
        <w:rPr>
          <w:rFonts w:ascii="PT Astra Serif" w:eastAsia="Calibri" w:hAnsi="PT Astra Serif"/>
          <w:spacing w:val="-6"/>
        </w:rPr>
        <w:t>. По итогам просмотра и разбора олимпиадных заданий участник может задать вопросы учителю-предметнику, участвующему в разборе заданий. В случае</w:t>
      </w:r>
      <w:proofErr w:type="gramStart"/>
      <w:r>
        <w:rPr>
          <w:rFonts w:ascii="PT Astra Serif" w:eastAsia="Calibri" w:hAnsi="PT Astra Serif"/>
          <w:spacing w:val="-6"/>
        </w:rPr>
        <w:t>,</w:t>
      </w:r>
      <w:proofErr w:type="gramEnd"/>
      <w:r>
        <w:rPr>
          <w:rFonts w:ascii="PT Astra Serif" w:eastAsia="Calibri" w:hAnsi="PT Astra Serif"/>
          <w:spacing w:val="-6"/>
        </w:rPr>
        <w:t xml:space="preserve"> если учитель-предметник не сможет дать ответ участнику, вопрос направляется по цепочке «от учителя к ответственному в организации,  затем - муниципальному координатору, затем – к региональному координатору».</w:t>
      </w:r>
    </w:p>
    <w:p w:rsidR="008D73E4" w:rsidRDefault="008D73E4" w:rsidP="008D73E4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Заявление на апелляцию принимается </w:t>
      </w:r>
      <w:proofErr w:type="gramStart"/>
      <w:r>
        <w:rPr>
          <w:rFonts w:ascii="PT Astra Serif" w:eastAsia="Calibri" w:hAnsi="PT Astra Serif"/>
          <w:spacing w:val="-6"/>
        </w:rPr>
        <w:t>ответственным</w:t>
      </w:r>
      <w:proofErr w:type="gramEnd"/>
      <w:r>
        <w:rPr>
          <w:rFonts w:ascii="PT Astra Serif" w:eastAsia="Calibri" w:hAnsi="PT Astra Serif"/>
          <w:spacing w:val="-6"/>
        </w:rPr>
        <w:t xml:space="preserve"> в общеобразовательной организации и в </w:t>
      </w:r>
      <w:proofErr w:type="spellStart"/>
      <w:r>
        <w:rPr>
          <w:rFonts w:ascii="PT Astra Serif" w:eastAsia="Calibri" w:hAnsi="PT Astra Serif"/>
          <w:spacing w:val="-6"/>
        </w:rPr>
        <w:t>отсканированнном</w:t>
      </w:r>
      <w:proofErr w:type="spellEnd"/>
      <w:r>
        <w:rPr>
          <w:rFonts w:ascii="PT Astra Serif" w:eastAsia="Calibri" w:hAnsi="PT Astra Serif"/>
          <w:spacing w:val="-6"/>
        </w:rPr>
        <w:t xml:space="preserve"> виде передается муниципальному координатору, затем - региональному координатору, затем - региональной апелляционной комиссии. О времени проведения апелляции будет сообщено дополнительно муниципальному координатору. *Апелляция направляется в региональную апелляционную комиссию в случае, если учитель-предметник не может дать мотивированный ответ на апелляцию.</w:t>
      </w:r>
    </w:p>
    <w:p w:rsidR="008D73E4" w:rsidRDefault="008D73E4" w:rsidP="008D73E4">
      <w:pPr>
        <w:pStyle w:val="a3"/>
        <w:ind w:left="0" w:firstLine="709"/>
        <w:jc w:val="both"/>
        <w:rPr>
          <w:rFonts w:ascii="PT Astra Serif" w:eastAsia="Calibri" w:hAnsi="PT Astra Serif"/>
          <w:spacing w:val="-6"/>
        </w:rPr>
      </w:pPr>
    </w:p>
    <w:sectPr w:rsidR="008D73E4" w:rsidSect="0002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E4"/>
    <w:rsid w:val="000263F9"/>
    <w:rsid w:val="008D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2023-11-01T06:28:00Z</dcterms:created>
  <dcterms:modified xsi:type="dcterms:W3CDTF">2023-11-01T06:36:00Z</dcterms:modified>
</cp:coreProperties>
</file>